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B" w:rsidRPr="008C65C2" w:rsidRDefault="00BB080B" w:rsidP="00BB080B">
      <w:pPr>
        <w:spacing w:after="0" w:line="240" w:lineRule="auto"/>
        <w:jc w:val="center"/>
        <w:rPr>
          <w:rFonts w:eastAsia="Times New Roman" w:cs="Times New Roman"/>
          <w:b/>
          <w:bCs/>
          <w:szCs w:val="24"/>
          <w:lang w:eastAsia="es-CO"/>
        </w:rPr>
      </w:pPr>
    </w:p>
    <w:p w:rsidR="00BB080B" w:rsidRPr="008C65C2" w:rsidRDefault="00BB080B" w:rsidP="00BB080B">
      <w:pPr>
        <w:spacing w:after="0" w:line="240" w:lineRule="auto"/>
        <w:jc w:val="center"/>
        <w:rPr>
          <w:rFonts w:eastAsia="Times New Roman" w:cs="Times New Roman"/>
          <w:b/>
          <w:bCs/>
          <w:szCs w:val="24"/>
          <w:lang w:eastAsia="es-CO"/>
        </w:rPr>
      </w:pPr>
    </w:p>
    <w:p w:rsidR="00BB080B" w:rsidRPr="008C65C2" w:rsidRDefault="00BB080B" w:rsidP="00BB080B">
      <w:pPr>
        <w:spacing w:after="0" w:line="240" w:lineRule="auto"/>
        <w:jc w:val="center"/>
        <w:rPr>
          <w:rFonts w:eastAsia="Times New Roman" w:cs="Times New Roman"/>
          <w:szCs w:val="24"/>
          <w:lang w:eastAsia="es-CO"/>
        </w:rPr>
      </w:pPr>
      <w:r w:rsidRPr="008C65C2">
        <w:rPr>
          <w:rFonts w:eastAsia="Times New Roman" w:cs="Times New Roman"/>
          <w:b/>
          <w:bCs/>
          <w:szCs w:val="24"/>
          <w:lang w:eastAsia="es-CO"/>
        </w:rPr>
        <w:t>OFICIO Nº 066790</w:t>
      </w:r>
    </w:p>
    <w:p w:rsidR="00BB080B" w:rsidRPr="008C65C2" w:rsidRDefault="00BB080B" w:rsidP="00BB080B">
      <w:pPr>
        <w:spacing w:after="0" w:line="240" w:lineRule="auto"/>
        <w:jc w:val="center"/>
        <w:rPr>
          <w:rFonts w:eastAsia="Times New Roman" w:cs="Times New Roman"/>
          <w:szCs w:val="24"/>
          <w:lang w:eastAsia="es-CO"/>
        </w:rPr>
      </w:pPr>
      <w:r w:rsidRPr="008C65C2">
        <w:rPr>
          <w:rFonts w:eastAsia="Times New Roman" w:cs="Times New Roman"/>
          <w:b/>
          <w:bCs/>
          <w:szCs w:val="24"/>
          <w:lang w:eastAsia="es-CO"/>
        </w:rPr>
        <w:t>18-12-2014</w:t>
      </w:r>
    </w:p>
    <w:p w:rsidR="00BB080B" w:rsidRPr="008C65C2" w:rsidRDefault="00BB080B" w:rsidP="00BB080B">
      <w:pPr>
        <w:spacing w:after="0" w:line="240" w:lineRule="auto"/>
        <w:jc w:val="center"/>
        <w:rPr>
          <w:rFonts w:eastAsia="Times New Roman" w:cs="Times New Roman"/>
          <w:szCs w:val="24"/>
          <w:lang w:eastAsia="es-CO"/>
        </w:rPr>
      </w:pPr>
      <w:r w:rsidRPr="008C65C2">
        <w:rPr>
          <w:rFonts w:eastAsia="Times New Roman" w:cs="Times New Roman"/>
          <w:b/>
          <w:bCs/>
          <w:szCs w:val="24"/>
          <w:lang w:eastAsia="es-CO"/>
        </w:rPr>
        <w:t>DIAN</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Subdirección de Gestión Normativa y Doctrina</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Bogotá, D.C.</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100208221- 001447</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proofErr w:type="spellStart"/>
      <w:r w:rsidRPr="008C65C2">
        <w:rPr>
          <w:rFonts w:eastAsia="Times New Roman" w:cs="Times New Roman"/>
          <w:b/>
          <w:bCs/>
          <w:szCs w:val="24"/>
          <w:lang w:eastAsia="es-CO"/>
        </w:rPr>
        <w:t>Ref</w:t>
      </w:r>
      <w:proofErr w:type="spellEnd"/>
      <w:r w:rsidRPr="008C65C2">
        <w:rPr>
          <w:rFonts w:eastAsia="Times New Roman" w:cs="Times New Roman"/>
          <w:b/>
          <w:bCs/>
          <w:szCs w:val="24"/>
          <w:lang w:eastAsia="es-CO"/>
        </w:rPr>
        <w:t>: </w:t>
      </w:r>
      <w:r w:rsidRPr="008C65C2">
        <w:rPr>
          <w:rFonts w:eastAsia="Times New Roman" w:cs="Times New Roman"/>
          <w:szCs w:val="24"/>
          <w:lang w:eastAsia="es-CO"/>
        </w:rPr>
        <w:t>Radicado 0385-1 y 0084 del 21/11/2014</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b/>
          <w:bCs/>
          <w:szCs w:val="24"/>
          <w:lang w:eastAsia="es-CO"/>
        </w:rPr>
        <w:t>Tema: </w:t>
      </w:r>
      <w:r w:rsidRPr="008C65C2">
        <w:rPr>
          <w:rFonts w:eastAsia="Times New Roman" w:cs="Times New Roman"/>
          <w:szCs w:val="24"/>
          <w:lang w:eastAsia="es-CO"/>
        </w:rPr>
        <w:t>Impuesto sobre la renta</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b/>
          <w:bCs/>
          <w:szCs w:val="24"/>
          <w:lang w:eastAsia="es-CO"/>
        </w:rPr>
        <w:t>Descriptores: </w:t>
      </w:r>
      <w:r w:rsidRPr="008C65C2">
        <w:rPr>
          <w:rFonts w:eastAsia="Times New Roman" w:cs="Times New Roman"/>
          <w:szCs w:val="24"/>
          <w:lang w:eastAsia="es-CO"/>
        </w:rPr>
        <w:t>Deducción por donaciones</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b/>
          <w:bCs/>
          <w:szCs w:val="24"/>
          <w:lang w:eastAsia="es-CO"/>
        </w:rPr>
        <w:t>Fuentes Formales: </w:t>
      </w:r>
      <w:r w:rsidRPr="008C65C2">
        <w:rPr>
          <w:rFonts w:eastAsia="Times New Roman" w:cs="Times New Roman"/>
          <w:szCs w:val="24"/>
          <w:lang w:eastAsia="es-CO"/>
        </w:rPr>
        <w:t xml:space="preserve">Estatuto Tributario </w:t>
      </w:r>
      <w:proofErr w:type="spellStart"/>
      <w:r w:rsidRPr="008C65C2">
        <w:rPr>
          <w:rFonts w:eastAsia="Times New Roman" w:cs="Times New Roman"/>
          <w:szCs w:val="24"/>
          <w:lang w:eastAsia="es-CO"/>
        </w:rPr>
        <w:t>arts</w:t>
      </w:r>
      <w:proofErr w:type="spellEnd"/>
      <w:r w:rsidRPr="008C65C2">
        <w:rPr>
          <w:rFonts w:eastAsia="Times New Roman" w:cs="Times New Roman"/>
          <w:szCs w:val="24"/>
          <w:lang w:eastAsia="es-CO"/>
        </w:rPr>
        <w:t> </w:t>
      </w:r>
      <w:hyperlink r:id="rId4" w:tooltip="Estatuto Tributario CETA" w:history="1">
        <w:r w:rsidRPr="008C65C2">
          <w:rPr>
            <w:rFonts w:eastAsia="Times New Roman" w:cs="Times New Roman"/>
            <w:szCs w:val="24"/>
            <w:lang w:eastAsia="es-CO"/>
          </w:rPr>
          <w:t>125</w:t>
        </w:r>
      </w:hyperlink>
      <w:r w:rsidRPr="008C65C2">
        <w:rPr>
          <w:rFonts w:eastAsia="Times New Roman" w:cs="Times New Roman"/>
          <w:szCs w:val="24"/>
          <w:lang w:eastAsia="es-CO"/>
        </w:rPr>
        <w:t>, </w:t>
      </w:r>
      <w:hyperlink r:id="rId5" w:tooltip="Estatuto Tributario CETA" w:history="1">
        <w:r w:rsidRPr="008C65C2">
          <w:rPr>
            <w:rFonts w:eastAsia="Times New Roman" w:cs="Times New Roman"/>
            <w:szCs w:val="24"/>
            <w:lang w:eastAsia="es-CO"/>
          </w:rPr>
          <w:t>125-1</w:t>
        </w:r>
      </w:hyperlink>
      <w:r w:rsidRPr="008C65C2">
        <w:rPr>
          <w:rFonts w:eastAsia="Times New Roman" w:cs="Times New Roman"/>
          <w:szCs w:val="24"/>
          <w:lang w:eastAsia="es-CO"/>
        </w:rPr>
        <w:t>, </w:t>
      </w:r>
      <w:hyperlink r:id="rId6" w:tooltip="Estatuto Tributario CETA" w:history="1">
        <w:r w:rsidRPr="008C65C2">
          <w:rPr>
            <w:rFonts w:eastAsia="Times New Roman" w:cs="Times New Roman"/>
            <w:szCs w:val="24"/>
            <w:lang w:eastAsia="es-CO"/>
          </w:rPr>
          <w:t>125-2</w:t>
        </w:r>
      </w:hyperlink>
      <w:r w:rsidRPr="008C65C2">
        <w:rPr>
          <w:rFonts w:eastAsia="Times New Roman" w:cs="Times New Roman"/>
          <w:szCs w:val="24"/>
          <w:lang w:eastAsia="es-CO"/>
        </w:rPr>
        <w:t>, </w:t>
      </w:r>
      <w:hyperlink r:id="rId7" w:tooltip="Estatuto Tributario CETA" w:history="1">
        <w:r w:rsidRPr="008C65C2">
          <w:rPr>
            <w:rFonts w:eastAsia="Times New Roman" w:cs="Times New Roman"/>
            <w:szCs w:val="24"/>
            <w:lang w:eastAsia="es-CO"/>
          </w:rPr>
          <w:t>125-3</w:t>
        </w:r>
      </w:hyperlink>
      <w:r w:rsidRPr="008C65C2">
        <w:rPr>
          <w:rFonts w:eastAsia="Times New Roman" w:cs="Times New Roman"/>
          <w:szCs w:val="24"/>
          <w:lang w:eastAsia="es-CO"/>
        </w:rPr>
        <w:t>, </w:t>
      </w:r>
      <w:hyperlink r:id="rId8" w:tooltip="Estatuto Tributario CETA" w:history="1">
        <w:r w:rsidRPr="008C65C2">
          <w:rPr>
            <w:rFonts w:eastAsia="Times New Roman" w:cs="Times New Roman"/>
            <w:szCs w:val="24"/>
            <w:lang w:eastAsia="es-CO"/>
          </w:rPr>
          <w:t>125-4</w:t>
        </w:r>
      </w:hyperlink>
      <w:r w:rsidRPr="008C65C2">
        <w:rPr>
          <w:rFonts w:eastAsia="Times New Roman" w:cs="Times New Roman"/>
          <w:szCs w:val="24"/>
          <w:lang w:eastAsia="es-CO"/>
        </w:rPr>
        <w:t>.</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bookmarkStart w:id="0" w:name="_GoBack"/>
      <w:bookmarkEnd w:id="0"/>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En el escrito de la referencia manifiesta, que ese Instituto es responsable de los monumentos que constituyen patrimonio cultural de la ciudad de Bogotá, localizados en el espacio público. Para garantizar la protección de estos bienes se están desarrollando diferentes estrategias, entre ellas el programa “adopta un monumento” que busca que particulares asuman la restauración de diferentes monumentos invirtiendo recursos directamente o mediante contratos con restauradores. Por lo anterior y ante solicitud de las empresas patrocinadoras, pregunta si existe algún descuento o beneficio tributario para los particulares que participen en el proyecto.</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En el marco de la consulta hay que señalar que respecto de las donaciones el Estatuto Tributario en el </w:t>
      </w:r>
      <w:hyperlink r:id="rId9" w:tooltip="Estatuto Tributario CETA" w:history="1">
        <w:r w:rsidRPr="008C65C2">
          <w:rPr>
            <w:rFonts w:eastAsia="Times New Roman" w:cs="Times New Roman"/>
            <w:szCs w:val="24"/>
            <w:lang w:eastAsia="es-CO"/>
          </w:rPr>
          <w:t>artículo 125</w:t>
        </w:r>
      </w:hyperlink>
      <w:r w:rsidRPr="008C65C2">
        <w:rPr>
          <w:rFonts w:eastAsia="Times New Roman" w:cs="Times New Roman"/>
          <w:szCs w:val="24"/>
          <w:lang w:eastAsia="es-CO"/>
        </w:rPr>
        <w:t> consagra que los contribuyentes del impuesto sobre la renta, -sean personas naturales o jurídicas- que efectúen donaciones a las entidades allí señaladas, tienen derecho a una deducción en el impuesto sobre la renta siempre y cuando se cumplan los requisitos expresamente consagrados:</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b/>
          <w:bCs/>
          <w:szCs w:val="24"/>
          <w:lang w:eastAsia="es-CO"/>
        </w:rPr>
        <w:t>“</w:t>
      </w:r>
      <w:hyperlink r:id="rId10" w:tooltip="Estatuto Tributario CETA" w:history="1">
        <w:r w:rsidRPr="008C65C2">
          <w:rPr>
            <w:rFonts w:eastAsia="Times New Roman" w:cs="Times New Roman"/>
            <w:b/>
            <w:bCs/>
            <w:szCs w:val="24"/>
            <w:lang w:eastAsia="es-CO"/>
          </w:rPr>
          <w:t>ARTÍCULO 125</w:t>
        </w:r>
      </w:hyperlink>
      <w:r w:rsidRPr="008C65C2">
        <w:rPr>
          <w:rFonts w:eastAsia="Times New Roman" w:cs="Times New Roman"/>
          <w:b/>
          <w:bCs/>
          <w:szCs w:val="24"/>
          <w:lang w:eastAsia="es-CO"/>
        </w:rPr>
        <w:t>. DEDUCCIÓN POR DONACIONES. </w:t>
      </w:r>
      <w:r w:rsidRPr="008C65C2">
        <w:rPr>
          <w:rFonts w:eastAsia="Times New Roman" w:cs="Times New Roman"/>
          <w:szCs w:val="24"/>
          <w:lang w:eastAsia="es-CO"/>
        </w:rPr>
        <w:t>Los contribuyentes del impuesto de renta que estén obligados a presentar declaración de renta y complementarios dentro del país, tienen derecho a deducir de la renta el valor de las donaciones efectuadas, durante el año o período gravable, a:</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1. Las entidades señaladas en el </w:t>
      </w:r>
      <w:hyperlink r:id="rId11" w:tooltip="Estatuto Tributario CETA" w:history="1">
        <w:r w:rsidRPr="008C65C2">
          <w:rPr>
            <w:rFonts w:eastAsia="Times New Roman" w:cs="Times New Roman"/>
            <w:szCs w:val="24"/>
            <w:lang w:eastAsia="es-CO"/>
          </w:rPr>
          <w:t>artículo 22</w:t>
        </w:r>
      </w:hyperlink>
      <w:r w:rsidRPr="008C65C2">
        <w:rPr>
          <w:rFonts w:eastAsia="Times New Roman" w:cs="Times New Roman"/>
          <w:szCs w:val="24"/>
          <w:lang w:eastAsia="es-CO"/>
        </w:rPr>
        <w:t>, y</w:t>
      </w:r>
    </w:p>
    <w:p w:rsidR="008C65C2" w:rsidRPr="008C65C2" w:rsidRDefault="008C65C2" w:rsidP="00BB080B">
      <w:pPr>
        <w:spacing w:after="0" w:line="240" w:lineRule="auto"/>
        <w:ind w:left="284"/>
        <w:jc w:val="both"/>
        <w:rPr>
          <w:rFonts w:eastAsia="Times New Roman" w:cs="Times New Roman"/>
          <w:szCs w:val="24"/>
          <w:lang w:eastAsia="es-CO"/>
        </w:rPr>
      </w:pP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2. Las asociaciones, corporaciones y fundaciones, sin ánimo de lucro, cuyo objeto social y actividad correspondan al desarrollo de la salud, la educación, la cultura, la religión, el deporte, la investigación científica y tecnológica, la ecología y protección ambiental, la defensa, protección y promoción de los derechos humanos y el acceso a la justicia o de programas de desarrollo social, siempre y cuando las mismas sean de interés general.</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xml:space="preserve">El valor a deducir por este concepto, en ningún caso podrá ser superior al treinta por ciento (30%) de la renta líquida del contribuyente, determinada antes de restar el valor de la donación. Esta limitación no será aplicable en el caso de las donaciones que se efectúen a los fondos mixtos de promoción de la cultura, el deporte y las artes que se creen en los niveles departamental, municipal y distrital, al Instituto Colombiano de Bienestar Familiar –ICBF- para el cumplimiento de sus programas del servicio al menor y a la familia, ni en </w:t>
      </w:r>
      <w:r w:rsidRPr="008C65C2">
        <w:rPr>
          <w:rFonts w:eastAsia="Times New Roman" w:cs="Times New Roman"/>
          <w:szCs w:val="24"/>
          <w:lang w:eastAsia="es-CO"/>
        </w:rPr>
        <w:lastRenderedPageBreak/>
        <w:t>el caso de las donaciones a las instituciones de educación superior, centros de investigación y de altos estudios para financiar programas de investigación en innovaciones científicas, tecnológicas, de ciencias sociales y mejoramiento de la productividad, previa aprobación de estos programas por el Consejo Nacional de Ciencia y Tecnología.</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b/>
          <w:bCs/>
          <w:szCs w:val="24"/>
          <w:lang w:eastAsia="es-CO"/>
        </w:rPr>
        <w:t>PARÁGRAFO. </w:t>
      </w:r>
      <w:r w:rsidRPr="008C65C2">
        <w:rPr>
          <w:rFonts w:eastAsia="Times New Roman" w:cs="Times New Roman"/>
          <w:szCs w:val="24"/>
          <w:lang w:eastAsia="es-CO"/>
        </w:rPr>
        <w:t>&lt;Parágrafo adicionado por el artículo 40 de la Ley 1379 de 2010.&gt; Incentivo a la donación del sector privado en la Red Nacional de Bibliotecas Públicas y Biblioteca Nacional, las personas jurídicas obligadas al pago del impuesto sobre la renta por el ejercicio de cualquier tipo de actividad, que realicen donaciones de dinero para la construcción, dotación o mantenimiento de bibliotecas de la Red Nacional de Bibliotecas Públicas y de la Biblioteca Nacional también tendrán derecho a deducir el ciento por ciento (100%) del valor real donado para efectos de calcular el impuesto sobre la renta a su cargo correspondiente al período gravable en que se realice la donación.</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Este incentivo solo será aplicable, previa verificación del valor de la donación y aprobación del Ministerio de Cultura. En el caso de las bibliotecas públicas municipales, distritales o departamentales se requerirá la previa aprobación del Ministerio de Cultura y de la autoridad territorial correspondiente.</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Para los efectos anteriores, se constituirá un fondo cuenta sin personería jurídica, al que ingresarán los recursos materia de estas donaciones. Dicho fondo será administrado por el Ministerio de Cultura mediante un encargo fiduciario, y no requerirá situación de fondos en materia presupuestal.</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En caso de que el donante defina la destinación de la donación, si se acepta por el Ministerio de Cultura de conformidad con las políticas y reglamentaciones establecidas en materia de bibliotecas públicas, tal destinación será inmodificable.</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Estas donaciones darán derecho a un Certificado de Donación Bibliotecaria que será un título valor a la orden transferible por el donante y el cual se emitirá por el Ministerio de Cultura sobre el año en que efectivamente se haga la donación. El monto de incentivo podrá amortizarse en un término de cinco (5) años desde la fecha de la donación.</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Igual beneficio tendrán los donantes de acervos bibliotecarios, recursos informáticos y en general recursos bibliotecarios, previo avalúo de los respectivos bienes, según reglamentación del Ministerio de Cultura.</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Para los efectos previstos en este parágrafo podrán acordarse con el respectivo donante, modalidades de divulgación pública de su participación.”</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De igual manera y para el caso consultado, como el </w:t>
      </w:r>
      <w:hyperlink r:id="rId12" w:tooltip="Estatuto Tributario CETA" w:history="1">
        <w:r w:rsidRPr="008C65C2">
          <w:rPr>
            <w:rFonts w:eastAsia="Times New Roman" w:cs="Times New Roman"/>
            <w:szCs w:val="24"/>
            <w:lang w:eastAsia="es-CO"/>
          </w:rPr>
          <w:t>artículo 125</w:t>
        </w:r>
      </w:hyperlink>
      <w:r w:rsidRPr="008C65C2">
        <w:rPr>
          <w:rFonts w:eastAsia="Times New Roman" w:cs="Times New Roman"/>
          <w:szCs w:val="24"/>
          <w:lang w:eastAsia="es-CO"/>
        </w:rPr>
        <w:t xml:space="preserve"> señalado incluye para la procedencia de la deducción, las donaciones a favor de las entidades señaladas en </w:t>
      </w:r>
      <w:proofErr w:type="spellStart"/>
      <w:r w:rsidRPr="008C65C2">
        <w:rPr>
          <w:rFonts w:eastAsia="Times New Roman" w:cs="Times New Roman"/>
          <w:szCs w:val="24"/>
          <w:lang w:eastAsia="es-CO"/>
        </w:rPr>
        <w:t>el</w:t>
      </w:r>
      <w:hyperlink r:id="rId13" w:tooltip="Estatuto Tributario CETA" w:history="1">
        <w:r w:rsidRPr="008C65C2">
          <w:rPr>
            <w:rFonts w:eastAsia="Times New Roman" w:cs="Times New Roman"/>
            <w:szCs w:val="24"/>
            <w:lang w:eastAsia="es-CO"/>
          </w:rPr>
          <w:t>artículo</w:t>
        </w:r>
        <w:proofErr w:type="spellEnd"/>
        <w:r w:rsidRPr="008C65C2">
          <w:rPr>
            <w:rFonts w:eastAsia="Times New Roman" w:cs="Times New Roman"/>
            <w:szCs w:val="24"/>
            <w:lang w:eastAsia="es-CO"/>
          </w:rPr>
          <w:t xml:space="preserve"> 22</w:t>
        </w:r>
      </w:hyperlink>
      <w:r w:rsidRPr="008C65C2">
        <w:rPr>
          <w:rFonts w:eastAsia="Times New Roman" w:cs="Times New Roman"/>
          <w:szCs w:val="24"/>
          <w:lang w:eastAsia="es-CO"/>
        </w:rPr>
        <w:t> del mismo texto normativo, es preciso manifestar que este ser refiere a:</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b/>
          <w:bCs/>
          <w:szCs w:val="24"/>
          <w:lang w:eastAsia="es-CO"/>
        </w:rPr>
        <w:t>“</w:t>
      </w:r>
      <w:hyperlink r:id="rId14" w:tooltip="Estatuto Tributario CETA" w:history="1">
        <w:r w:rsidRPr="008C65C2">
          <w:rPr>
            <w:rFonts w:eastAsia="Times New Roman" w:cs="Times New Roman"/>
            <w:b/>
            <w:bCs/>
            <w:szCs w:val="24"/>
            <w:lang w:eastAsia="es-CO"/>
          </w:rPr>
          <w:t>ARTÍCULO 22</w:t>
        </w:r>
      </w:hyperlink>
      <w:r w:rsidRPr="008C65C2">
        <w:rPr>
          <w:rFonts w:eastAsia="Times New Roman" w:cs="Times New Roman"/>
          <w:b/>
          <w:bCs/>
          <w:szCs w:val="24"/>
          <w:lang w:eastAsia="es-CO"/>
        </w:rPr>
        <w:t>. ENTIDADES QUE NO SON CONTRIBUYENTES. </w:t>
      </w:r>
      <w:r w:rsidRPr="008C65C2">
        <w:rPr>
          <w:rFonts w:eastAsia="Times New Roman" w:cs="Times New Roman"/>
          <w:szCs w:val="24"/>
          <w:lang w:eastAsia="es-CO"/>
        </w:rPr>
        <w:t>No son contribuyentes del impuesto sobre la renta y complementarios, la Nación, los Departamentos y sus asociaciones, los Distritos, los Territorios Indígenas, los Municipios y las demás entidades territoriales, las Corporaciones Autónomas Regionales y de Desarrollo Sostenible, las Áreas Metropolitanas, las Asociaciones de Municipios, las Superintendencias, las Unidades Administrativas Especiales, las Asociaciones de Departamentos y las Federaciones de Municipios, los Resguardos y Cabildos Indígenas, los establecimientos públicos y los demás establecimientos oficiales descentralizados, siempre y cuando no se señalen en la ley como contribuyentes.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lastRenderedPageBreak/>
        <w:t>Por su parte los artículos </w:t>
      </w:r>
      <w:hyperlink r:id="rId15" w:tooltip="Estatuto Tributario CETA" w:history="1">
        <w:r w:rsidRPr="008C65C2">
          <w:rPr>
            <w:rFonts w:eastAsia="Times New Roman" w:cs="Times New Roman"/>
            <w:szCs w:val="24"/>
            <w:lang w:eastAsia="es-CO"/>
          </w:rPr>
          <w:t>125-1</w:t>
        </w:r>
      </w:hyperlink>
      <w:r w:rsidRPr="008C65C2">
        <w:rPr>
          <w:rFonts w:eastAsia="Times New Roman" w:cs="Times New Roman"/>
          <w:szCs w:val="24"/>
          <w:lang w:eastAsia="es-CO"/>
        </w:rPr>
        <w:t> y </w:t>
      </w:r>
      <w:hyperlink r:id="rId16" w:tooltip="Estatuto Tributario CETA" w:history="1">
        <w:r w:rsidRPr="008C65C2">
          <w:rPr>
            <w:rFonts w:eastAsia="Times New Roman" w:cs="Times New Roman"/>
            <w:szCs w:val="24"/>
            <w:lang w:eastAsia="es-CO"/>
          </w:rPr>
          <w:t>125-4</w:t>
        </w:r>
      </w:hyperlink>
      <w:r w:rsidRPr="008C65C2">
        <w:rPr>
          <w:rFonts w:eastAsia="Times New Roman" w:cs="Times New Roman"/>
          <w:szCs w:val="24"/>
          <w:lang w:eastAsia="es-CO"/>
        </w:rPr>
        <w:t>, se ocupan de señalar los requisitos que deben cumplirse para que la donación pueda ser deducida hasta el porcentaje máximo previsto en el citado </w:t>
      </w:r>
      <w:hyperlink r:id="rId17" w:tooltip="Estatuto Tributario CETA" w:history="1">
        <w:r w:rsidRPr="008C65C2">
          <w:rPr>
            <w:rFonts w:eastAsia="Times New Roman" w:cs="Times New Roman"/>
            <w:szCs w:val="24"/>
            <w:lang w:eastAsia="es-CO"/>
          </w:rPr>
          <w:t>artículo 125</w:t>
        </w:r>
      </w:hyperlink>
      <w:r w:rsidRPr="008C65C2">
        <w:rPr>
          <w:rFonts w:eastAsia="Times New Roman" w:cs="Times New Roman"/>
          <w:szCs w:val="24"/>
          <w:lang w:eastAsia="es-CO"/>
        </w:rPr>
        <w:t> ibídem.</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Es importante destacar que los artículos </w:t>
      </w:r>
      <w:hyperlink r:id="rId18" w:tooltip="Estatuto Tributario CETA" w:history="1">
        <w:r w:rsidRPr="008C65C2">
          <w:rPr>
            <w:rFonts w:eastAsia="Times New Roman" w:cs="Times New Roman"/>
            <w:szCs w:val="24"/>
            <w:lang w:eastAsia="es-CO"/>
          </w:rPr>
          <w:t>125-2</w:t>
        </w:r>
      </w:hyperlink>
      <w:r w:rsidRPr="008C65C2">
        <w:rPr>
          <w:rFonts w:eastAsia="Times New Roman" w:cs="Times New Roman"/>
          <w:szCs w:val="24"/>
          <w:lang w:eastAsia="es-CO"/>
        </w:rPr>
        <w:t> y </w:t>
      </w:r>
      <w:hyperlink r:id="rId19" w:tooltip="Estatuto Tributario CETA" w:history="1">
        <w:proofErr w:type="gramStart"/>
        <w:r w:rsidRPr="008C65C2">
          <w:rPr>
            <w:rFonts w:eastAsia="Times New Roman" w:cs="Times New Roman"/>
            <w:szCs w:val="24"/>
            <w:lang w:eastAsia="es-CO"/>
          </w:rPr>
          <w:t>125-3</w:t>
        </w:r>
      </w:hyperlink>
      <w:r w:rsidRPr="008C65C2">
        <w:rPr>
          <w:rFonts w:eastAsia="Times New Roman" w:cs="Times New Roman"/>
          <w:szCs w:val="24"/>
          <w:lang w:eastAsia="es-CO"/>
        </w:rPr>
        <w:t> mencionados</w:t>
      </w:r>
      <w:proofErr w:type="gramEnd"/>
      <w:r w:rsidRPr="008C65C2">
        <w:rPr>
          <w:rFonts w:eastAsia="Times New Roman" w:cs="Times New Roman"/>
          <w:szCs w:val="24"/>
          <w:lang w:eastAsia="es-CO"/>
        </w:rPr>
        <w:t xml:space="preserve"> prescriben las modalidades que pueden revestir las donaciones par (sic) que sean fiscalmente aceptadas:</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b/>
          <w:bCs/>
          <w:szCs w:val="24"/>
          <w:lang w:eastAsia="es-CO"/>
        </w:rPr>
        <w:t>“</w:t>
      </w:r>
      <w:hyperlink r:id="rId20" w:tooltip="Estatuto Tributario CETA" w:history="1">
        <w:r w:rsidRPr="008C65C2">
          <w:rPr>
            <w:rFonts w:eastAsia="Times New Roman" w:cs="Times New Roman"/>
            <w:b/>
            <w:bCs/>
            <w:szCs w:val="24"/>
            <w:lang w:eastAsia="es-CO"/>
          </w:rPr>
          <w:t>ARTÍCULO 125-2</w:t>
        </w:r>
      </w:hyperlink>
      <w:r w:rsidRPr="008C65C2">
        <w:rPr>
          <w:rFonts w:eastAsia="Times New Roman" w:cs="Times New Roman"/>
          <w:b/>
          <w:bCs/>
          <w:szCs w:val="24"/>
          <w:lang w:eastAsia="es-CO"/>
        </w:rPr>
        <w:t>. MODALIDADES DE LAS DONACIONES.&gt; </w:t>
      </w:r>
      <w:r w:rsidRPr="008C65C2">
        <w:rPr>
          <w:rFonts w:eastAsia="Times New Roman" w:cs="Times New Roman"/>
          <w:szCs w:val="24"/>
          <w:lang w:eastAsia="es-CO"/>
        </w:rPr>
        <w:t>Las donaciones que dan derecho a deducción deben revestir las siguientes modalidades:</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1. Cuando se done dinero, el pago debe haberse realizado por medio de cheque, tarjeta de crédito o a través de un intermediario financiero.</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2. Cuando se donen títulos valores, se estimarán a precios de mercado de acuerdo con el procedimiento establecido por la Superintendencia de Valores*. Cuando se donen otros activos, su valor se estimará por el costo de adquisición más los ajustes por inflación** efectuados hasta la fecha de la donación, menos las depreciaciones acumuladas hasta esa misma fecha.</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A6544E" w:rsidP="00BB080B">
      <w:pPr>
        <w:spacing w:after="0" w:line="240" w:lineRule="auto"/>
        <w:ind w:left="284"/>
        <w:jc w:val="both"/>
        <w:rPr>
          <w:rFonts w:eastAsia="Times New Roman" w:cs="Times New Roman"/>
          <w:szCs w:val="24"/>
          <w:lang w:eastAsia="es-CO"/>
        </w:rPr>
      </w:pPr>
      <w:hyperlink r:id="rId21" w:tooltip="Estatuto Tributario CETA" w:history="1">
        <w:r w:rsidR="00BB080B" w:rsidRPr="008C65C2">
          <w:rPr>
            <w:rFonts w:eastAsia="Times New Roman" w:cs="Times New Roman"/>
            <w:b/>
            <w:bCs/>
            <w:szCs w:val="24"/>
            <w:lang w:eastAsia="es-CO"/>
          </w:rPr>
          <w:t>ARTÍCULO 125-3</w:t>
        </w:r>
      </w:hyperlink>
      <w:r w:rsidR="00BB080B" w:rsidRPr="008C65C2">
        <w:rPr>
          <w:rFonts w:eastAsia="Times New Roman" w:cs="Times New Roman"/>
          <w:b/>
          <w:bCs/>
          <w:szCs w:val="24"/>
          <w:lang w:eastAsia="es-CO"/>
        </w:rPr>
        <w:t>. REQUISITOS PARA RECONOCER LA DEDUCCIÓN. </w:t>
      </w:r>
      <w:r w:rsidR="00BB080B" w:rsidRPr="008C65C2">
        <w:rPr>
          <w:rFonts w:eastAsia="Times New Roman" w:cs="Times New Roman"/>
          <w:szCs w:val="24"/>
          <w:lang w:eastAsia="es-CO"/>
        </w:rPr>
        <w:t>Para que proceda el reconocimiento de la deducción por concepto de donaciones, se requiere una certificación de la entidad donataria, firmada por Revisor Fiscal o Contador, en donde coste la forma, el monto y la destinación de la donación, así como el cumplimiento de las condiciones señaladas en los artículos anteriores.</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ind w:left="284"/>
        <w:jc w:val="both"/>
        <w:rPr>
          <w:rFonts w:eastAsia="Times New Roman" w:cs="Times New Roman"/>
          <w:szCs w:val="24"/>
          <w:lang w:eastAsia="es-CO"/>
        </w:rPr>
      </w:pPr>
      <w:r w:rsidRPr="008C65C2">
        <w:rPr>
          <w:rFonts w:eastAsia="Times New Roman" w:cs="Times New Roman"/>
          <w:szCs w:val="24"/>
          <w:lang w:eastAsia="es-CO"/>
        </w:rPr>
        <w:t>En ningún caso procederá la deducción por concepto de donaciones, cuando se donen acciones, cuotas partes o participaciones, títulos valores, derechos o acreencias, poseídos en entidades o sociedades.”</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 </w:t>
      </w:r>
    </w:p>
    <w:p w:rsidR="00BB080B" w:rsidRPr="008C65C2" w:rsidRDefault="00BB080B" w:rsidP="00BB080B">
      <w:pPr>
        <w:spacing w:after="0" w:line="240" w:lineRule="auto"/>
        <w:jc w:val="both"/>
        <w:rPr>
          <w:rFonts w:eastAsia="Times New Roman" w:cs="Times New Roman"/>
          <w:b/>
          <w:sz w:val="32"/>
          <w:szCs w:val="32"/>
          <w:u w:val="single"/>
          <w:lang w:eastAsia="es-CO"/>
        </w:rPr>
      </w:pPr>
      <w:r w:rsidRPr="008C65C2">
        <w:rPr>
          <w:rFonts w:eastAsia="Times New Roman" w:cs="Times New Roman"/>
          <w:szCs w:val="24"/>
          <w:lang w:eastAsia="es-CO"/>
        </w:rPr>
        <w:t>En consecuencia, los contribuyentes del impuesto obre (sic) la renta obligados a presentar declaración de renta y complementarios, podrán deducir el valor de las donaciones efectuadas durante el respectivo año gravable, siendo requisito que de esta donación sea beneficiaria alguna de las entidades señaladas en el </w:t>
      </w:r>
      <w:hyperlink r:id="rId22" w:tooltip="Estatuto Tributario CETA" w:history="1">
        <w:r w:rsidRPr="008C65C2">
          <w:rPr>
            <w:rFonts w:eastAsia="Times New Roman" w:cs="Times New Roman"/>
            <w:szCs w:val="24"/>
            <w:lang w:eastAsia="es-CO"/>
          </w:rPr>
          <w:t>artículo 125</w:t>
        </w:r>
      </w:hyperlink>
      <w:r w:rsidRPr="008C65C2">
        <w:rPr>
          <w:rFonts w:eastAsia="Times New Roman" w:cs="Times New Roman"/>
          <w:szCs w:val="24"/>
          <w:lang w:eastAsia="es-CO"/>
        </w:rPr>
        <w:t> del Estatuto Tributario ya citado y en las condiciones y limitaciones previstas en los artículos </w:t>
      </w:r>
      <w:hyperlink r:id="rId23" w:tooltip="Estatuto Tributario CETA" w:history="1">
        <w:r w:rsidRPr="008C65C2">
          <w:rPr>
            <w:rFonts w:eastAsia="Times New Roman" w:cs="Times New Roman"/>
            <w:szCs w:val="24"/>
            <w:lang w:eastAsia="es-CO"/>
          </w:rPr>
          <w:t>125-1</w:t>
        </w:r>
      </w:hyperlink>
      <w:r w:rsidRPr="008C65C2">
        <w:rPr>
          <w:rFonts w:eastAsia="Times New Roman" w:cs="Times New Roman"/>
          <w:szCs w:val="24"/>
          <w:lang w:eastAsia="es-CO"/>
        </w:rPr>
        <w:t xml:space="preserve"> y siguientes del mismo Estatuto. </w:t>
      </w:r>
      <w:r w:rsidRPr="008C65C2">
        <w:rPr>
          <w:rFonts w:eastAsia="Times New Roman" w:cs="Times New Roman"/>
          <w:b/>
          <w:szCs w:val="24"/>
          <w:lang w:eastAsia="es-CO"/>
        </w:rPr>
        <w:t xml:space="preserve">De tal suerte que si la donación no se hace directamente a estas entidades o se trata de la donación de un servicio que se contrata por el donante, no se daría el beneficio aquí estudiado, </w:t>
      </w:r>
      <w:r w:rsidRPr="008C65C2">
        <w:rPr>
          <w:rFonts w:eastAsia="Times New Roman" w:cs="Times New Roman"/>
          <w:b/>
          <w:sz w:val="32"/>
          <w:szCs w:val="32"/>
          <w:u w:val="single"/>
          <w:lang w:eastAsia="es-CO"/>
        </w:rPr>
        <w:t>toda vez que este no es aplicable a la donación de servicios</w:t>
      </w:r>
    </w:p>
    <w:p w:rsidR="00BB080B" w:rsidRPr="008C65C2" w:rsidRDefault="00BB080B" w:rsidP="00BB080B">
      <w:pPr>
        <w:spacing w:after="0" w:line="240" w:lineRule="auto"/>
        <w:jc w:val="both"/>
        <w:rPr>
          <w:rFonts w:eastAsia="Times New Roman" w:cs="Times New Roman"/>
          <w:b/>
          <w:sz w:val="32"/>
          <w:szCs w:val="32"/>
          <w:lang w:eastAsia="es-CO"/>
        </w:rPr>
      </w:pPr>
      <w:r w:rsidRPr="008C65C2">
        <w:rPr>
          <w:rFonts w:eastAsia="Times New Roman" w:cs="Times New Roman"/>
          <w:b/>
          <w:sz w:val="32"/>
          <w:szCs w:val="32"/>
          <w:lang w:eastAsia="es-CO"/>
        </w:rPr>
        <w:t> </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Atentamente,</w:t>
      </w:r>
    </w:p>
    <w:p w:rsidR="008C65C2" w:rsidRPr="008C65C2" w:rsidRDefault="008C65C2" w:rsidP="00BB080B">
      <w:pPr>
        <w:spacing w:after="0" w:line="240" w:lineRule="auto"/>
        <w:jc w:val="both"/>
        <w:rPr>
          <w:rFonts w:eastAsia="Times New Roman" w:cs="Times New Roman"/>
          <w:szCs w:val="24"/>
          <w:lang w:eastAsia="es-CO"/>
        </w:rPr>
      </w:pP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b/>
          <w:bCs/>
          <w:szCs w:val="24"/>
          <w:lang w:eastAsia="es-CO"/>
        </w:rPr>
        <w:t>YUMER YOEL AGUILAR VARGAS</w:t>
      </w:r>
    </w:p>
    <w:p w:rsidR="00BB080B" w:rsidRPr="008C65C2" w:rsidRDefault="00BB080B"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Subdirector de Gestión Normativa y Doctrina</w:t>
      </w:r>
    </w:p>
    <w:p w:rsidR="008C65C2" w:rsidRPr="008C65C2" w:rsidRDefault="008C65C2" w:rsidP="00BB080B">
      <w:pPr>
        <w:spacing w:after="0" w:line="240" w:lineRule="auto"/>
        <w:jc w:val="both"/>
        <w:rPr>
          <w:rFonts w:eastAsia="Times New Roman" w:cs="Times New Roman"/>
          <w:szCs w:val="24"/>
          <w:lang w:eastAsia="es-CO"/>
        </w:rPr>
      </w:pPr>
      <w:r w:rsidRPr="008C65C2">
        <w:rPr>
          <w:rFonts w:eastAsia="Times New Roman" w:cs="Times New Roman"/>
          <w:szCs w:val="24"/>
          <w:lang w:eastAsia="es-CO"/>
        </w:rPr>
        <w:t>_________________________________________________________________________</w:t>
      </w:r>
    </w:p>
    <w:p w:rsidR="00BB080B" w:rsidRPr="008C65C2" w:rsidRDefault="00BB080B" w:rsidP="00BB080B">
      <w:pPr>
        <w:spacing w:after="285" w:line="240" w:lineRule="auto"/>
        <w:jc w:val="both"/>
        <w:rPr>
          <w:rFonts w:eastAsia="Times New Roman" w:cs="Times New Roman"/>
          <w:szCs w:val="24"/>
          <w:lang w:eastAsia="es-CO"/>
        </w:rPr>
      </w:pPr>
      <w:r w:rsidRPr="008C65C2">
        <w:rPr>
          <w:rFonts w:eastAsia="Times New Roman" w:cs="Times New Roman"/>
          <w:szCs w:val="24"/>
          <w:lang w:eastAsia="es-CO"/>
        </w:rPr>
        <w:t> </w:t>
      </w:r>
    </w:p>
    <w:p w:rsidR="00961BFA" w:rsidRPr="008C65C2" w:rsidRDefault="00961BFA">
      <w:pPr>
        <w:rPr>
          <w:rFonts w:cs="Times New Roman"/>
          <w:szCs w:val="24"/>
        </w:rPr>
      </w:pPr>
    </w:p>
    <w:p w:rsidR="00BB080B" w:rsidRPr="008C65C2" w:rsidRDefault="00BB080B">
      <w:pPr>
        <w:rPr>
          <w:rFonts w:cs="Times New Roman"/>
          <w:szCs w:val="24"/>
        </w:rPr>
      </w:pPr>
    </w:p>
    <w:sectPr w:rsidR="00BB080B" w:rsidRPr="008C65C2" w:rsidSect="00A6544E">
      <w:pgSz w:w="12242" w:h="18722" w:code="258"/>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0B"/>
    <w:rsid w:val="0029351E"/>
    <w:rsid w:val="008C65C2"/>
    <w:rsid w:val="00961BFA"/>
    <w:rsid w:val="009F1934"/>
    <w:rsid w:val="00A6544E"/>
    <w:rsid w:val="00B94BED"/>
    <w:rsid w:val="00BB080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8581C-C86F-41FE-84CB-8E3DCD08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1" TargetMode="External"/><Relationship Id="rId13" Type="http://schemas.openxmlformats.org/officeDocument/2006/relationships/hyperlink" Target="http://www.ceta.org.co/html/vista_de_un_articulo.asp?Norma=50" TargetMode="External"/><Relationship Id="rId18" Type="http://schemas.openxmlformats.org/officeDocument/2006/relationships/hyperlink" Target="http://www.ceta.org.co/html/vista_de_un_articulo.asp?Norma=179"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180" TargetMode="External"/><Relationship Id="rId7" Type="http://schemas.openxmlformats.org/officeDocument/2006/relationships/hyperlink" Target="http://www.ceta.org.co/html/vista_de_un_articulo.asp?Norma=180" TargetMode="External"/><Relationship Id="rId12" Type="http://schemas.openxmlformats.org/officeDocument/2006/relationships/hyperlink" Target="http://www.ceta.org.co/html/vista_de_un_articulo.asp?Norma=177" TargetMode="External"/><Relationship Id="rId17" Type="http://schemas.openxmlformats.org/officeDocument/2006/relationships/hyperlink" Target="http://www.ceta.org.co/html/vista_de_un_articulo.asp?Norma=17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ta.org.co/html/vista_de_un_articulo.asp?Norma=181" TargetMode="External"/><Relationship Id="rId20" Type="http://schemas.openxmlformats.org/officeDocument/2006/relationships/hyperlink" Target="http://www.ceta.org.co/html/vista_de_un_articulo.asp?Norma=179" TargetMode="External"/><Relationship Id="rId1" Type="http://schemas.openxmlformats.org/officeDocument/2006/relationships/styles" Target="styles.xml"/><Relationship Id="rId6" Type="http://schemas.openxmlformats.org/officeDocument/2006/relationships/hyperlink" Target="http://www.ceta.org.co/html/vista_de_un_articulo.asp?Norma=179" TargetMode="External"/><Relationship Id="rId11" Type="http://schemas.openxmlformats.org/officeDocument/2006/relationships/hyperlink" Target="http://www.ceta.org.co/html/vista_de_un_articulo.asp?Norma=50" TargetMode="External"/><Relationship Id="rId24" Type="http://schemas.openxmlformats.org/officeDocument/2006/relationships/fontTable" Target="fontTable.xml"/><Relationship Id="rId5" Type="http://schemas.openxmlformats.org/officeDocument/2006/relationships/hyperlink" Target="http://www.ceta.org.co/html/vista_de_un_articulo.asp?Norma=178" TargetMode="External"/><Relationship Id="rId15" Type="http://schemas.openxmlformats.org/officeDocument/2006/relationships/hyperlink" Target="http://www.ceta.org.co/html/vista_de_un_articulo.asp?Norma=178" TargetMode="External"/><Relationship Id="rId23" Type="http://schemas.openxmlformats.org/officeDocument/2006/relationships/hyperlink" Target="http://www.ceta.org.co/html/vista_de_un_articulo.asp?Norma=178" TargetMode="External"/><Relationship Id="rId10" Type="http://schemas.openxmlformats.org/officeDocument/2006/relationships/hyperlink" Target="http://www.ceta.org.co/html/vista_de_un_articulo.asp?Norma=177" TargetMode="External"/><Relationship Id="rId19" Type="http://schemas.openxmlformats.org/officeDocument/2006/relationships/hyperlink" Target="http://www.ceta.org.co/html/vista_de_un_articulo.asp?Norma=180" TargetMode="External"/><Relationship Id="rId4" Type="http://schemas.openxmlformats.org/officeDocument/2006/relationships/hyperlink" Target="http://www.ceta.org.co/html/vista_de_un_articulo.asp?Norma=177" TargetMode="External"/><Relationship Id="rId9" Type="http://schemas.openxmlformats.org/officeDocument/2006/relationships/hyperlink" Target="http://www.ceta.org.co/html/vista_de_un_articulo.asp?Norma=177" TargetMode="External"/><Relationship Id="rId14" Type="http://schemas.openxmlformats.org/officeDocument/2006/relationships/hyperlink" Target="http://www.ceta.org.co/html/vista_de_un_articulo.asp?Norma=50" TargetMode="External"/><Relationship Id="rId22" Type="http://schemas.openxmlformats.org/officeDocument/2006/relationships/hyperlink" Target="http://www.ceta.org.co/html/vista_de_un_articulo.asp?Norma=1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1724</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2016-05-05T11:37:00Z</dcterms:created>
  <dcterms:modified xsi:type="dcterms:W3CDTF">2016-05-05T12:16:00Z</dcterms:modified>
</cp:coreProperties>
</file>